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Arial" w:hAnsi="Arial" w:eastAsia="Arial"/>
          <w:b/>
          <w:i w:val="0"/>
          <w:caps/>
          <w:color w:val="0F4C5C"/>
          <w:sz w:val="18"/>
          <w:spacing w:val="40"/>
        </w:rPr>
        <w:t>«Organisation» · Information Security Management System</w:t>
      </w:r>
    </w:p>
    <w:p>
      <w:pPr>
        <w:spacing w:before="0" w:after="40"/>
      </w:pPr>
      <w:r>
        <w:rPr>
          <w:rFonts w:ascii="Arial" w:hAnsi="Arial" w:eastAsia="Arial"/>
          <w:b/>
          <w:i w:val="0"/>
          <w:caps w:val="0"/>
          <w:color w:val="0F4C5C"/>
          <w:sz w:val="30"/>
        </w:rPr>
        <w:t>Information Security Policy</w:t>
      </w:r>
    </w:p>
    <w:p>
      <w:pPr>
        <w:spacing w:before="0" w:after="80"/>
        <w:pBdr>
          <w:bottom w:val="single" w:sz="18" w:space="1" w:color="E8472F"/>
        </w:pBdr>
      </w:pPr>
    </w:p>
    <w:tbl>
      <w:tblPr>
        <w:tblW w:type="dxa" w:w="10206"/>
        <w:jc w:val="center"/>
        <w:tblLook w:firstColumn="1" w:firstRow="1" w:lastColumn="0" w:lastRow="0" w:noHBand="0" w:noVBand="1" w:val="04A0"/>
        <w:tblBorders>
          <w:top w:val="single" w:sz="4" w:space="0" w:color="E7E0D4"/>
          <w:left w:val="single" w:sz="4" w:space="0" w:color="E7E0D4"/>
          <w:bottom w:val="single" w:sz="4" w:space="0" w:color="E7E0D4"/>
          <w:right w:val="single" w:sz="4" w:space="0" w:color="E7E0D4"/>
          <w:insideH w:val="single" w:sz="4" w:space="0" w:color="E7E0D4"/>
          <w:insideV w:val="single" w:sz="4" w:space="0" w:color="E7E0D4"/>
        </w:tblBorders>
        <w:tblLayout w:type="fixed"/>
        <w:tblCellMar>
          <w:top w:w="50" w:type="dxa"/>
          <w:left w:w="90" w:type="dxa"/>
          <w:bottom w:w="50" w:type="dxa"/>
          <w:right w:w="90" w:type="dxa"/>
        </w:tblCellMar>
        <w:tblLayout w:type="fixed"/>
      </w:tblPr>
      <w:tblGrid>
        <w:gridCol w:w="1247"/>
        <w:gridCol w:w="3855"/>
        <w:gridCol w:w="1247"/>
        <w:gridCol w:w="3855"/>
      </w:tblGrid>
      <w:tr>
        <w:tc>
          <w:tcPr>
            <w:tcW w:type="dxa" w:w="1247"/>
            <w:shd w:val="clear" w:color="auto" w:fill="FAF6F0"/>
          </w:tcPr>
          <w:p>
            <w:pPr>
              <w:spacing w:before="20" w:after="20"/>
            </w:pPr>
            <w:r/>
            <w:r>
              <w:rPr>
                <w:rFonts w:ascii="Arial" w:hAnsi="Arial" w:eastAsia="Arial"/>
                <w:b/>
                <w:i w:val="0"/>
                <w:caps w:val="0"/>
                <w:color w:val="5E6B72"/>
                <w:sz w:val="16"/>
              </w:rPr>
              <w:t>Document No</w:t>
            </w:r>
          </w:p>
        </w:tc>
        <w:tc>
          <w:tcPr>
            <w:tcW w:type="dxa" w:w="3855"/>
          </w:tcPr>
          <w:p>
            <w:pPr>
              <w:spacing w:before="20" w:after="20"/>
            </w:pPr>
            <w:r/>
            <w:r>
              <w:rPr>
                <w:rFonts w:ascii="Arial" w:hAnsi="Arial" w:eastAsia="Arial"/>
                <w:b/>
                <w:i w:val="0"/>
                <w:caps w:val="0"/>
                <w:color w:val="1E2A30"/>
                <w:sz w:val="18"/>
              </w:rPr>
              <w:t>ISMS-POL-01</w:t>
            </w:r>
          </w:p>
        </w:tc>
        <w:tc>
          <w:tcPr>
            <w:tcW w:type="dxa" w:w="1247"/>
            <w:shd w:val="clear" w:color="auto" w:fill="FAF6F0"/>
          </w:tcPr>
          <w:p>
            <w:pPr>
              <w:spacing w:before="20" w:after="20"/>
            </w:pPr>
            <w:r/>
            <w:r>
              <w:rPr>
                <w:rFonts w:ascii="Arial" w:hAnsi="Arial" w:eastAsia="Arial"/>
                <w:b/>
                <w:i w:val="0"/>
                <w:caps w:val="0"/>
                <w:color w:val="5E6B72"/>
                <w:sz w:val="16"/>
              </w:rPr>
              <w:t>Version</w:t>
            </w:r>
          </w:p>
        </w:tc>
        <w:tc>
          <w:tcPr>
            <w:tcW w:type="dxa" w:w="3855"/>
          </w:tcPr>
          <w:p>
            <w:pPr>
              <w:spacing w:before="20" w:after="20"/>
            </w:pPr>
            <w:r/>
            <w:r>
              <w:rPr>
                <w:rFonts w:ascii="Arial" w:hAnsi="Arial" w:eastAsia="Arial"/>
                <w:b/>
                <w:i w:val="0"/>
                <w:caps w:val="0"/>
                <w:color w:val="1E2A30"/>
                <w:sz w:val="18"/>
              </w:rPr>
              <w:t>«1.0»</w:t>
            </w:r>
          </w:p>
        </w:tc>
      </w:tr>
      <w:tr>
        <w:tc>
          <w:tcPr>
            <w:tcW w:type="dxa" w:w="1247"/>
            <w:shd w:val="clear" w:color="auto" w:fill="FAF6F0"/>
          </w:tcPr>
          <w:p>
            <w:pPr>
              <w:spacing w:before="20" w:after="20"/>
            </w:pPr>
            <w:r/>
            <w:r>
              <w:rPr>
                <w:rFonts w:ascii="Arial" w:hAnsi="Arial" w:eastAsia="Arial"/>
                <w:b/>
                <w:i w:val="0"/>
                <w:caps w:val="0"/>
                <w:color w:val="5E6B72"/>
                <w:sz w:val="16"/>
              </w:rPr>
              <w:t>Approved by</w:t>
            </w:r>
          </w:p>
        </w:tc>
        <w:tc>
          <w:tcPr>
            <w:tcW w:type="dxa" w:w="3855"/>
          </w:tcPr>
          <w:p>
            <w:pPr>
              <w:spacing w:before="20" w:after="20"/>
            </w:pPr>
            <w:r/>
            <w:r>
              <w:rPr>
                <w:rFonts w:ascii="Arial" w:hAnsi="Arial" w:eastAsia="Arial"/>
                <w:b/>
                <w:i w:val="0"/>
                <w:caps w:val="0"/>
                <w:color w:val="1E2A30"/>
                <w:sz w:val="18"/>
              </w:rPr>
              <w:t>«Managing Director»</w:t>
            </w:r>
          </w:p>
        </w:tc>
        <w:tc>
          <w:tcPr>
            <w:tcW w:type="dxa" w:w="1247"/>
            <w:shd w:val="clear" w:color="auto" w:fill="FAF6F0"/>
          </w:tcPr>
          <w:p>
            <w:pPr>
              <w:spacing w:before="20" w:after="20"/>
            </w:pPr>
            <w:r/>
            <w:r>
              <w:rPr>
                <w:rFonts w:ascii="Arial" w:hAnsi="Arial" w:eastAsia="Arial"/>
                <w:b/>
                <w:i w:val="0"/>
                <w:caps w:val="0"/>
                <w:color w:val="5E6B72"/>
                <w:sz w:val="16"/>
              </w:rPr>
              <w:t>Date</w:t>
            </w:r>
          </w:p>
        </w:tc>
        <w:tc>
          <w:tcPr>
            <w:tcW w:type="dxa" w:w="3855"/>
          </w:tcPr>
          <w:p>
            <w:pPr>
              <w:spacing w:before="20" w:after="20"/>
            </w:pPr>
            <w:r/>
            <w:r>
              <w:rPr>
                <w:rFonts w:ascii="Arial" w:hAnsi="Arial" w:eastAsia="Arial"/>
                <w:b/>
                <w:i w:val="0"/>
                <w:caps w:val="0"/>
                <w:color w:val="1E2A30"/>
                <w:sz w:val="18"/>
              </w:rPr>
              <w:t>«date»</w:t>
            </w:r>
          </w:p>
        </w:tc>
      </w:tr>
      <w:tr>
        <w:tc>
          <w:tcPr>
            <w:tcW w:type="dxa" w:w="1247"/>
            <w:shd w:val="clear" w:color="auto" w:fill="FAF6F0"/>
          </w:tcPr>
          <w:p>
            <w:pPr>
              <w:spacing w:before="20" w:after="20"/>
            </w:pPr>
            <w:r/>
            <w:r>
              <w:rPr>
                <w:rFonts w:ascii="Arial" w:hAnsi="Arial" w:eastAsia="Arial"/>
                <w:b/>
                <w:i w:val="0"/>
                <w:caps w:val="0"/>
                <w:color w:val="5E6B72"/>
                <w:sz w:val="16"/>
              </w:rPr>
              <w:t>Applies to</w:t>
            </w:r>
          </w:p>
        </w:tc>
        <w:tc>
          <w:tcPr>
            <w:tcW w:type="dxa" w:w="3855"/>
          </w:tcPr>
          <w:p>
            <w:pPr>
              <w:spacing w:before="20" w:after="20"/>
            </w:pPr>
            <w:r/>
            <w:r>
              <w:rPr>
                <w:rFonts w:ascii="Arial" w:hAnsi="Arial" w:eastAsia="Arial"/>
                <w:b/>
                <w:i w:val="0"/>
                <w:caps w:val="0"/>
                <w:color w:val="1E2A30"/>
                <w:sz w:val="18"/>
              </w:rPr>
              <w:t>«Everyone working for or on behalf of the organisation; all sites and systems in the ISMS scope»</w:t>
            </w:r>
          </w:p>
        </w:tc>
        <w:tc>
          <w:tcPr>
            <w:tcW w:type="dxa" w:w="1247"/>
            <w:shd w:val="clear" w:color="auto" w:fill="FAF6F0"/>
          </w:tcPr>
          <w:p>
            <w:pPr>
              <w:spacing w:before="20" w:after="20"/>
            </w:pPr>
            <w:r/>
            <w:r>
              <w:rPr>
                <w:rFonts w:ascii="Arial" w:hAnsi="Arial" w:eastAsia="Arial"/>
                <w:b/>
                <w:i w:val="0"/>
                <w:caps w:val="0"/>
                <w:color w:val="5E6B72"/>
                <w:sz w:val="16"/>
              </w:rPr>
              <w:t>Review</w:t>
            </w:r>
          </w:p>
        </w:tc>
        <w:tc>
          <w:tcPr>
            <w:tcW w:type="dxa" w:w="3855"/>
          </w:tcPr>
          <w:p>
            <w:pPr>
              <w:spacing w:before="20" w:after="20"/>
            </w:pPr>
            <w:r/>
            <w:r>
              <w:rPr>
                <w:rFonts w:ascii="Arial" w:hAnsi="Arial" w:eastAsia="Arial"/>
                <w:b/>
                <w:i w:val="0"/>
                <w:caps w:val="0"/>
                <w:color w:val="1E2A30"/>
                <w:sz w:val="18"/>
              </w:rPr>
              <w:t>«annually and after significant change»</w:t>
            </w:r>
          </w:p>
        </w:tc>
      </w:tr>
    </w:tbl>
    <w:p>
      <w:pPr>
        <w:spacing w:before="0" w:after="0" w:lineRule="exact" w:line="80"/>
      </w:pPr>
    </w:p>
    <w:p>
      <w:pPr>
        <w:keepNext/>
        <w:spacing w:before="100" w:after="60"/>
      </w:pPr>
      <w:r>
        <w:rPr>
          <w:rFonts w:ascii="Arial" w:hAnsi="Arial" w:eastAsia="Arial"/>
          <w:b/>
          <w:i w:val="0"/>
          <w:caps w:val="0"/>
          <w:color w:val="0F4C5C"/>
          <w:sz w:val="22"/>
        </w:rPr>
        <w:t>1. Why we have this policy</w:t>
      </w:r>
    </w:p>
    <w:p>
      <w:pPr>
        <w:spacing w:before="0" w:after="40"/>
      </w:pPr>
      <w:r>
        <w:rPr>
          <w:rFonts w:ascii="Arial" w:hAnsi="Arial" w:eastAsia="Arial"/>
          <w:b w:val="0"/>
          <w:i w:val="0"/>
          <w:caps w:val="0"/>
          <w:color w:val="1E2A30"/>
          <w:sz w:val="17"/>
        </w:rPr>
        <w:t>«Organisation» «does what, for whom — e.g. moves and stores our customers' goods and holds their shipment data, our employees' records and our commercial information». Customers, employees, suppliers and regulators trust us with information that would harm them, or us, if it were lost, altered or disclosed. This policy says what we commit to, so that the trust is deserved.</w:t>
      </w:r>
    </w:p>
    <w:p>
      <w:pPr>
        <w:keepNext/>
        <w:spacing w:before="100" w:after="60"/>
      </w:pPr>
      <w:r>
        <w:rPr>
          <w:rFonts w:ascii="Arial" w:hAnsi="Arial" w:eastAsia="Arial"/>
          <w:b/>
          <w:i w:val="0"/>
          <w:caps w:val="0"/>
          <w:color w:val="0F4C5C"/>
          <w:sz w:val="22"/>
        </w:rPr>
        <w:t>2. What we commit to</w:t>
      </w:r>
    </w:p>
    <w:p>
      <w:pPr>
        <w:spacing w:before="0" w:after="40"/>
        <w:ind w:left="340" w:hanging="227"/>
      </w:pPr>
      <w:r>
        <w:rPr>
          <w:rFonts w:ascii="Arial" w:hAnsi="Arial" w:eastAsia="Arial"/>
          <w:b/>
          <w:i w:val="0"/>
          <w:caps w:val="0"/>
          <w:color w:val="E8472F"/>
          <w:sz w:val="17"/>
        </w:rPr>
        <w:t xml:space="preserve">•  </w:t>
      </w:r>
      <w:r>
        <w:rPr>
          <w:rFonts w:ascii="Arial" w:hAnsi="Arial" w:eastAsia="Arial"/>
          <w:b/>
          <w:i w:val="0"/>
          <w:caps w:val="0"/>
          <w:color w:val="1E2A30"/>
          <w:sz w:val="17"/>
        </w:rPr>
        <w:t>Protect the confidentiality, integrity and availability</w:t>
      </w:r>
      <w:r>
        <w:rPr>
          <w:rFonts w:ascii="Arial" w:hAnsi="Arial" w:eastAsia="Arial"/>
          <w:b w:val="0"/>
          <w:i w:val="0"/>
          <w:caps w:val="0"/>
          <w:color w:val="1E2A30"/>
          <w:sz w:val="17"/>
        </w:rPr>
        <w:t xml:space="preserve"> of the information in our care — ours, our customers' and our people's — in proportion to the harm its loss would cause.</w:t>
      </w:r>
    </w:p>
    <w:p>
      <w:pPr>
        <w:spacing w:before="0" w:after="40"/>
        <w:ind w:left="340" w:hanging="227"/>
      </w:pPr>
      <w:r>
        <w:rPr>
          <w:rFonts w:ascii="Arial" w:hAnsi="Arial" w:eastAsia="Arial"/>
          <w:b/>
          <w:i w:val="0"/>
          <w:caps w:val="0"/>
          <w:color w:val="E8472F"/>
          <w:sz w:val="17"/>
        </w:rPr>
        <w:t xml:space="preserve">•  </w:t>
      </w:r>
      <w:r>
        <w:rPr>
          <w:rFonts w:ascii="Arial" w:hAnsi="Arial" w:eastAsia="Arial"/>
          <w:b/>
          <w:i w:val="0"/>
          <w:caps w:val="0"/>
          <w:color w:val="1E2A30"/>
          <w:sz w:val="17"/>
        </w:rPr>
        <w:t>Meet every requirement that applies to us</w:t>
      </w:r>
      <w:r>
        <w:rPr>
          <w:rFonts w:ascii="Arial" w:hAnsi="Arial" w:eastAsia="Arial"/>
          <w:b w:val="0"/>
          <w:i w:val="0"/>
          <w:caps w:val="0"/>
          <w:color w:val="1E2A30"/>
          <w:sz w:val="17"/>
        </w:rPr>
        <w:t xml:space="preserve"> — the Protection of Personal Information Act, «other laws», customer contracts and security schedules, the standards we adopt — and know what they are.</w:t>
      </w:r>
    </w:p>
    <w:p>
      <w:pPr>
        <w:spacing w:before="0" w:after="40"/>
        <w:ind w:left="340" w:hanging="227"/>
      </w:pPr>
      <w:r>
        <w:rPr>
          <w:rFonts w:ascii="Arial" w:hAnsi="Arial" w:eastAsia="Arial"/>
          <w:b/>
          <w:i w:val="0"/>
          <w:caps w:val="0"/>
          <w:color w:val="E8472F"/>
          <w:sz w:val="17"/>
        </w:rPr>
        <w:t xml:space="preserve">•  </w:t>
      </w:r>
      <w:r>
        <w:rPr>
          <w:rFonts w:ascii="Arial" w:hAnsi="Arial" w:eastAsia="Arial"/>
          <w:b/>
          <w:i w:val="0"/>
          <w:caps w:val="0"/>
          <w:color w:val="1E2A30"/>
          <w:sz w:val="17"/>
        </w:rPr>
        <w:t>Manage information security risk</w:t>
      </w:r>
      <w:r>
        <w:rPr>
          <w:rFonts w:ascii="Arial" w:hAnsi="Arial" w:eastAsia="Arial"/>
          <w:b w:val="0"/>
          <w:i w:val="0"/>
          <w:caps w:val="0"/>
          <w:color w:val="1E2A30"/>
          <w:sz w:val="17"/>
        </w:rPr>
        <w:t xml:space="preserve"> through our management system: identify the risks, treat the ones we will not accept, keep the record current.</w:t>
      </w:r>
    </w:p>
    <w:p>
      <w:pPr>
        <w:spacing w:before="0" w:after="40"/>
        <w:ind w:left="340" w:hanging="227"/>
      </w:pPr>
      <w:r>
        <w:rPr>
          <w:rFonts w:ascii="Arial" w:hAnsi="Arial" w:eastAsia="Arial"/>
          <w:b/>
          <w:i w:val="0"/>
          <w:caps w:val="0"/>
          <w:color w:val="E8472F"/>
          <w:sz w:val="17"/>
        </w:rPr>
        <w:t xml:space="preserve">•  </w:t>
      </w:r>
      <w:r>
        <w:rPr>
          <w:rFonts w:ascii="Arial" w:hAnsi="Arial" w:eastAsia="Arial"/>
          <w:b/>
          <w:i w:val="0"/>
          <w:caps w:val="0"/>
          <w:color w:val="1E2A30"/>
          <w:sz w:val="17"/>
        </w:rPr>
        <w:t>Give people what they need</w:t>
      </w:r>
      <w:r>
        <w:rPr>
          <w:rFonts w:ascii="Arial" w:hAnsi="Arial" w:eastAsia="Arial"/>
          <w:b w:val="0"/>
          <w:i w:val="0"/>
          <w:caps w:val="0"/>
          <w:color w:val="1E2A30"/>
          <w:sz w:val="17"/>
        </w:rPr>
        <w:t xml:space="preserve"> to work securely — clear rules, training, the right tools — and expect everyone to follow the rules.</w:t>
      </w:r>
    </w:p>
    <w:p>
      <w:pPr>
        <w:spacing w:before="0" w:after="40"/>
        <w:ind w:left="340" w:hanging="227"/>
      </w:pPr>
      <w:r>
        <w:rPr>
          <w:rFonts w:ascii="Arial" w:hAnsi="Arial" w:eastAsia="Arial"/>
          <w:b/>
          <w:i w:val="0"/>
          <w:caps w:val="0"/>
          <w:color w:val="E8472F"/>
          <w:sz w:val="17"/>
        </w:rPr>
        <w:t xml:space="preserve">•  </w:t>
      </w:r>
      <w:r>
        <w:rPr>
          <w:rFonts w:ascii="Arial" w:hAnsi="Arial" w:eastAsia="Arial"/>
          <w:b/>
          <w:i w:val="0"/>
          <w:caps w:val="0"/>
          <w:color w:val="1E2A30"/>
          <w:sz w:val="17"/>
        </w:rPr>
        <w:t>Learn and improve.</w:t>
      </w:r>
      <w:r>
        <w:rPr>
          <w:rFonts w:ascii="Arial" w:hAnsi="Arial" w:eastAsia="Arial"/>
          <w:b w:val="0"/>
          <w:i w:val="0"/>
          <w:caps w:val="0"/>
          <w:color w:val="1E2A30"/>
          <w:sz w:val="17"/>
        </w:rPr>
        <w:t xml:space="preserve"> Report events without blame, investigate incidents, fix causes, measure what matters, review the system at least annually.</w:t>
      </w:r>
    </w:p>
    <w:p>
      <w:pPr>
        <w:keepNext/>
        <w:spacing w:before="100" w:after="60"/>
      </w:pPr>
      <w:r>
        <w:rPr>
          <w:rFonts w:ascii="Arial" w:hAnsi="Arial" w:eastAsia="Arial"/>
          <w:b/>
          <w:i w:val="0"/>
          <w:caps w:val="0"/>
          <w:color w:val="0F4C5C"/>
          <w:sz w:val="22"/>
        </w:rPr>
        <w:t>3. Our information security objectives</w:t>
      </w:r>
    </w:p>
    <w:p>
      <w:pPr>
        <w:spacing w:before="0" w:after="40"/>
      </w:pPr>
      <w:r>
        <w:rPr>
          <w:rFonts w:ascii="Arial" w:hAnsi="Arial" w:eastAsia="Arial"/>
          <w:b w:val="0"/>
          <w:i w:val="0"/>
          <w:caps w:val="0"/>
          <w:color w:val="1E2A30"/>
          <w:sz w:val="17"/>
        </w:rPr>
        <w:t>Top management sets measurable objectives each year, consistent with this policy, and reviews progress at management review. For «year»:</w:t>
      </w:r>
    </w:p>
    <w:tbl>
      <w:tblPr>
        <w:tblW w:type="dxa" w:w="9979"/>
        <w:jc w:val="center"/>
        <w:tblLook w:firstColumn="1" w:firstRow="1" w:lastColumn="0" w:lastRow="0" w:noHBand="0" w:noVBand="1" w:val="04A0"/>
        <w:tblBorders>
          <w:top w:val="single" w:sz="4" w:space="0" w:color="E7E0D4"/>
          <w:left w:val="single" w:sz="4" w:space="0" w:color="E7E0D4"/>
          <w:bottom w:val="single" w:sz="4" w:space="0" w:color="E7E0D4"/>
          <w:right w:val="single" w:sz="4" w:space="0" w:color="E7E0D4"/>
          <w:insideH w:val="single" w:sz="4" w:space="0" w:color="E7E0D4"/>
          <w:insideV w:val="single" w:sz="4" w:space="0" w:color="E7E0D4"/>
        </w:tblBorders>
        <w:tblLayout w:type="fixed"/>
        <w:tblCellMar>
          <w:top w:w="50" w:type="dxa"/>
          <w:left w:w="90" w:type="dxa"/>
          <w:bottom w:w="50" w:type="dxa"/>
          <w:right w:w="90" w:type="dxa"/>
        </w:tblCellMar>
        <w:tblLayout w:type="fixed"/>
      </w:tblPr>
      <w:tblGrid>
        <w:gridCol w:w="3742"/>
        <w:gridCol w:w="2835"/>
        <w:gridCol w:w="1814"/>
        <w:gridCol w:w="1587"/>
      </w:tblGrid>
      <w:tr>
        <w:trPr>
          <w:tblHeader w:val="true"/>
        </w:trPr>
        <w:tc>
          <w:tcPr>
            <w:tcW w:type="dxa" w:w="3742"/>
            <w:shd w:val="clear" w:color="auto" w:fill="0F4C5C"/>
          </w:tcPr>
          <w:p>
            <w:pPr>
              <w:spacing w:before="20" w:after="20"/>
            </w:pPr>
            <w:r/>
            <w:r>
              <w:rPr>
                <w:rFonts w:ascii="Arial" w:hAnsi="Arial" w:eastAsia="Arial"/>
                <w:b/>
                <w:i w:val="0"/>
                <w:caps w:val="0"/>
                <w:color w:val="FFFFFF"/>
                <w:sz w:val="17"/>
              </w:rPr>
              <w:t>Objective</w:t>
            </w:r>
          </w:p>
        </w:tc>
        <w:tc>
          <w:tcPr>
            <w:tcW w:type="dxa" w:w="2835"/>
            <w:shd w:val="clear" w:color="auto" w:fill="0F4C5C"/>
          </w:tcPr>
          <w:p>
            <w:pPr>
              <w:spacing w:before="20" w:after="20"/>
            </w:pPr>
            <w:r/>
            <w:r>
              <w:rPr>
                <w:rFonts w:ascii="Arial" w:hAnsi="Arial" w:eastAsia="Arial"/>
                <w:b/>
                <w:i w:val="0"/>
                <w:caps w:val="0"/>
                <w:color w:val="FFFFFF"/>
                <w:sz w:val="17"/>
              </w:rPr>
              <w:t>Measure</w:t>
            </w:r>
          </w:p>
        </w:tc>
        <w:tc>
          <w:tcPr>
            <w:tcW w:type="dxa" w:w="1814"/>
            <w:shd w:val="clear" w:color="auto" w:fill="0F4C5C"/>
          </w:tcPr>
          <w:p>
            <w:pPr>
              <w:spacing w:before="20" w:after="20"/>
            </w:pPr>
            <w:r/>
            <w:r>
              <w:rPr>
                <w:rFonts w:ascii="Arial" w:hAnsi="Arial" w:eastAsia="Arial"/>
                <w:b/>
                <w:i w:val="0"/>
                <w:caps w:val="0"/>
                <w:color w:val="FFFFFF"/>
                <w:sz w:val="17"/>
              </w:rPr>
              <w:t>Target</w:t>
            </w:r>
          </w:p>
        </w:tc>
        <w:tc>
          <w:tcPr>
            <w:tcW w:type="dxa" w:w="1587"/>
            <w:shd w:val="clear" w:color="auto" w:fill="0F4C5C"/>
          </w:tcPr>
          <w:p>
            <w:pPr>
              <w:spacing w:before="20" w:after="20"/>
            </w:pPr>
            <w:r/>
            <w:r>
              <w:rPr>
                <w:rFonts w:ascii="Arial" w:hAnsi="Arial" w:eastAsia="Arial"/>
                <w:b/>
                <w:i w:val="0"/>
                <w:caps w:val="0"/>
                <w:color w:val="FFFFFF"/>
                <w:sz w:val="17"/>
              </w:rPr>
              <w:t>Owner</w:t>
            </w:r>
          </w:p>
        </w:tc>
      </w:tr>
      <w:tr>
        <w:tc>
          <w:tcPr>
            <w:tcW w:type="dxa" w:w="3742"/>
            <w:shd w:val="clear" w:color="auto" w:fill="FAF6F0"/>
          </w:tcPr>
          <w:p>
            <w:pPr>
              <w:spacing w:before="20" w:after="20"/>
            </w:pPr>
            <w:r/>
            <w:r>
              <w:rPr>
                <w:rFonts w:ascii="Arial" w:hAnsi="Arial" w:eastAsia="Arial"/>
                <w:b/>
                <w:i w:val="0"/>
                <w:caps w:val="0"/>
                <w:color w:val="0F4C5C"/>
                <w:sz w:val="16"/>
              </w:rPr>
              <w:t>«e.g. Every account protected by multi-factor authentication»</w:t>
            </w:r>
          </w:p>
        </w:tc>
        <w:tc>
          <w:tcPr>
            <w:tcW w:type="dxa" w:w="2835"/>
          </w:tcPr>
          <w:p>
            <w:pPr>
              <w:spacing w:before="20" w:after="20"/>
            </w:pPr>
            <w:r/>
            <w:r>
              <w:rPr>
                <w:rFonts w:ascii="Arial" w:hAnsi="Arial" w:eastAsia="Arial"/>
                <w:b w:val="0"/>
                <w:i w:val="0"/>
                <w:caps w:val="0"/>
                <w:color w:val="1E2A30"/>
                <w:sz w:val="16"/>
              </w:rPr>
              <w:t>«% of accounts with MFA enforced»</w:t>
            </w:r>
          </w:p>
        </w:tc>
        <w:tc>
          <w:tcPr>
            <w:tcW w:type="dxa" w:w="1814"/>
          </w:tcPr>
          <w:p>
            <w:pPr>
              <w:spacing w:before="20" w:after="20"/>
            </w:pPr>
            <w:r/>
            <w:r>
              <w:rPr>
                <w:rFonts w:ascii="Arial" w:hAnsi="Arial" w:eastAsia="Arial"/>
                <w:b w:val="0"/>
                <w:i w:val="0"/>
                <w:caps w:val="0"/>
                <w:color w:val="1E2A30"/>
                <w:sz w:val="16"/>
              </w:rPr>
              <w:t>«100% by «date»»</w:t>
            </w:r>
          </w:p>
        </w:tc>
        <w:tc>
          <w:tcPr>
            <w:tcW w:type="dxa" w:w="1587"/>
          </w:tcPr>
          <w:p>
            <w:pPr>
              <w:spacing w:before="20" w:after="20"/>
            </w:pPr>
            <w:r/>
            <w:r>
              <w:rPr>
                <w:rFonts w:ascii="Arial" w:hAnsi="Arial" w:eastAsia="Arial"/>
                <w:b w:val="0"/>
                <w:i w:val="0"/>
                <w:caps w:val="0"/>
                <w:color w:val="1E2A30"/>
                <w:sz w:val="16"/>
              </w:rPr>
              <w:t>«IT Manager»</w:t>
            </w:r>
          </w:p>
        </w:tc>
      </w:tr>
      <w:tr>
        <w:tc>
          <w:tcPr>
            <w:tcW w:type="dxa" w:w="3742"/>
            <w:shd w:val="clear" w:color="auto" w:fill="FAF6F0"/>
          </w:tcPr>
          <w:p>
            <w:pPr>
              <w:spacing w:before="20" w:after="20"/>
            </w:pPr>
            <w:r/>
            <w:r>
              <w:rPr>
                <w:rFonts w:ascii="Arial" w:hAnsi="Arial" w:eastAsia="Arial"/>
                <w:b/>
                <w:i w:val="0"/>
                <w:caps w:val="0"/>
                <w:color w:val="0F4C5C"/>
                <w:sz w:val="16"/>
              </w:rPr>
              <w:t>«e.g. People report what they suspect»</w:t>
            </w:r>
          </w:p>
        </w:tc>
        <w:tc>
          <w:tcPr>
            <w:tcW w:type="dxa" w:w="2835"/>
          </w:tcPr>
          <w:p>
            <w:pPr>
              <w:spacing w:before="20" w:after="20"/>
            </w:pPr>
            <w:r/>
            <w:r>
              <w:rPr>
                <w:rFonts w:ascii="Arial" w:hAnsi="Arial" w:eastAsia="Arial"/>
                <w:b w:val="0"/>
                <w:i w:val="0"/>
                <w:caps w:val="0"/>
                <w:color w:val="1E2A30"/>
                <w:sz w:val="16"/>
              </w:rPr>
              <w:t>«phishing report rate in simulations»</w:t>
            </w:r>
          </w:p>
        </w:tc>
        <w:tc>
          <w:tcPr>
            <w:tcW w:type="dxa" w:w="1814"/>
          </w:tcPr>
          <w:p>
            <w:pPr>
              <w:spacing w:before="20" w:after="20"/>
            </w:pPr>
            <w:r/>
            <w:r>
              <w:rPr>
                <w:rFonts w:ascii="Arial" w:hAnsi="Arial" w:eastAsia="Arial"/>
                <w:b w:val="0"/>
                <w:i w:val="0"/>
                <w:caps w:val="0"/>
                <w:color w:val="1E2A30"/>
                <w:sz w:val="16"/>
              </w:rPr>
              <w:t>«≥ 40%»</w:t>
            </w:r>
          </w:p>
        </w:tc>
        <w:tc>
          <w:tcPr>
            <w:tcW w:type="dxa" w:w="1587"/>
          </w:tcPr>
          <w:p>
            <w:pPr>
              <w:spacing w:before="20" w:after="20"/>
            </w:pPr>
            <w:r/>
            <w:r>
              <w:rPr>
                <w:rFonts w:ascii="Arial" w:hAnsi="Arial" w:eastAsia="Arial"/>
                <w:b w:val="0"/>
                <w:i w:val="0"/>
                <w:caps w:val="0"/>
                <w:color w:val="1E2A30"/>
                <w:sz w:val="16"/>
              </w:rPr>
              <w:t>«ISMS lead»</w:t>
            </w:r>
          </w:p>
        </w:tc>
      </w:tr>
    </w:tbl>
    <w:p>
      <w:pPr>
        <w:spacing w:before="0" w:after="0" w:lineRule="exact" w:line="80"/>
      </w:pPr>
    </w:p>
    <w:p>
      <w:pPr>
        <w:keepNext/>
        <w:spacing w:before="100" w:after="60"/>
      </w:pPr>
      <w:r>
        <w:rPr>
          <w:rFonts w:ascii="Arial" w:hAnsi="Arial" w:eastAsia="Arial"/>
          <w:b/>
          <w:i w:val="0"/>
          <w:caps w:val="0"/>
          <w:color w:val="0F4C5C"/>
          <w:sz w:val="22"/>
        </w:rPr>
        <w:t>4. Who does what</w:t>
      </w:r>
    </w:p>
    <w:tbl>
      <w:tblPr>
        <w:tblW w:type="dxa" w:w="9979"/>
        <w:jc w:val="center"/>
        <w:tblLook w:firstColumn="1" w:firstRow="1" w:lastColumn="0" w:lastRow="0" w:noHBand="0" w:noVBand="1" w:val="04A0"/>
        <w:tblBorders>
          <w:top w:val="single" w:sz="4" w:space="0" w:color="E7E0D4"/>
          <w:left w:val="single" w:sz="4" w:space="0" w:color="E7E0D4"/>
          <w:bottom w:val="single" w:sz="4" w:space="0" w:color="E7E0D4"/>
          <w:right w:val="single" w:sz="4" w:space="0" w:color="E7E0D4"/>
          <w:insideH w:val="single" w:sz="4" w:space="0" w:color="E7E0D4"/>
          <w:insideV w:val="single" w:sz="4" w:space="0" w:color="E7E0D4"/>
        </w:tblBorders>
        <w:tblLayout w:type="fixed"/>
        <w:tblCellMar>
          <w:top w:w="50" w:type="dxa"/>
          <w:left w:w="90" w:type="dxa"/>
          <w:bottom w:w="50" w:type="dxa"/>
          <w:right w:w="90" w:type="dxa"/>
        </w:tblCellMar>
        <w:tblLayout w:type="fixed"/>
      </w:tblPr>
      <w:tblGrid>
        <w:gridCol w:w="2268"/>
        <w:gridCol w:w="7711"/>
      </w:tblGrid>
      <w:tr>
        <w:trPr>
          <w:tblHeader w:val="true"/>
        </w:trPr>
        <w:tc>
          <w:tcPr>
            <w:tcW w:type="dxa" w:w="2268"/>
            <w:shd w:val="clear" w:color="auto" w:fill="0F4C5C"/>
          </w:tcPr>
          <w:p>
            <w:pPr>
              <w:spacing w:before="20" w:after="20"/>
            </w:pPr>
            <w:r/>
            <w:r>
              <w:rPr>
                <w:rFonts w:ascii="Arial" w:hAnsi="Arial" w:eastAsia="Arial"/>
                <w:b/>
                <w:i w:val="0"/>
                <w:caps w:val="0"/>
                <w:color w:val="FFFFFF"/>
                <w:sz w:val="17"/>
              </w:rPr>
              <w:t>Role</w:t>
            </w:r>
          </w:p>
        </w:tc>
        <w:tc>
          <w:tcPr>
            <w:tcW w:type="dxa" w:w="7711"/>
            <w:shd w:val="clear" w:color="auto" w:fill="0F4C5C"/>
          </w:tcPr>
          <w:p>
            <w:pPr>
              <w:spacing w:before="20" w:after="20"/>
            </w:pPr>
            <w:r/>
            <w:r>
              <w:rPr>
                <w:rFonts w:ascii="Arial" w:hAnsi="Arial" w:eastAsia="Arial"/>
                <w:b/>
                <w:i w:val="0"/>
                <w:caps w:val="0"/>
                <w:color w:val="FFFFFF"/>
                <w:sz w:val="17"/>
              </w:rPr>
              <w:t>Responsibility</w:t>
            </w:r>
          </w:p>
        </w:tc>
      </w:tr>
      <w:tr>
        <w:tc>
          <w:tcPr>
            <w:tcW w:type="dxa" w:w="2268"/>
            <w:shd w:val="clear" w:color="auto" w:fill="FAF6F0"/>
          </w:tcPr>
          <w:p>
            <w:pPr>
              <w:spacing w:before="20" w:after="20"/>
            </w:pPr>
            <w:r/>
            <w:r>
              <w:rPr>
                <w:rFonts w:ascii="Arial" w:hAnsi="Arial" w:eastAsia="Arial"/>
                <w:b/>
                <w:i w:val="0"/>
                <w:caps w:val="0"/>
                <w:color w:val="0F4C5C"/>
                <w:sz w:val="16"/>
              </w:rPr>
              <w:t>Top management</w:t>
            </w:r>
          </w:p>
        </w:tc>
        <w:tc>
          <w:tcPr>
            <w:tcW w:type="dxa" w:w="7711"/>
          </w:tcPr>
          <w:p>
            <w:pPr>
              <w:spacing w:before="20" w:after="20"/>
            </w:pPr>
            <w:r/>
            <w:r>
              <w:rPr>
                <w:rFonts w:ascii="Arial" w:hAnsi="Arial" w:eastAsia="Arial"/>
                <w:b w:val="0"/>
                <w:i w:val="0"/>
                <w:caps w:val="0"/>
                <w:color w:val="1E2A30"/>
                <w:sz w:val="16"/>
              </w:rPr>
              <w:t>Owns this policy, provides the resources, sets and reviews the objectives, is seen to follow the rules.</w:t>
            </w:r>
          </w:p>
        </w:tc>
      </w:tr>
      <w:tr>
        <w:tc>
          <w:tcPr>
            <w:tcW w:type="dxa" w:w="2268"/>
            <w:shd w:val="clear" w:color="auto" w:fill="FAF6F0"/>
          </w:tcPr>
          <w:p>
            <w:pPr>
              <w:spacing w:before="20" w:after="20"/>
            </w:pPr>
            <w:r/>
            <w:r>
              <w:rPr>
                <w:rFonts w:ascii="Arial" w:hAnsi="Arial" w:eastAsia="Arial"/>
                <w:b/>
                <w:i w:val="0"/>
                <w:caps w:val="0"/>
                <w:color w:val="0F4C5C"/>
                <w:sz w:val="16"/>
              </w:rPr>
              <w:t>«ISMS lead»</w:t>
            </w:r>
          </w:p>
        </w:tc>
        <w:tc>
          <w:tcPr>
            <w:tcW w:type="dxa" w:w="7711"/>
          </w:tcPr>
          <w:p>
            <w:pPr>
              <w:spacing w:before="20" w:after="20"/>
            </w:pPr>
            <w:r/>
            <w:r>
              <w:rPr>
                <w:rFonts w:ascii="Arial" w:hAnsi="Arial" w:eastAsia="Arial"/>
                <w:b w:val="0"/>
                <w:i w:val="0"/>
                <w:caps w:val="0"/>
                <w:color w:val="1E2A30"/>
                <w:sz w:val="16"/>
              </w:rPr>
              <w:t>Runs the management system: risks, controls, the Statement of Applicability, audits, incidents, measures, this review.</w:t>
            </w:r>
          </w:p>
        </w:tc>
      </w:tr>
      <w:tr>
        <w:tc>
          <w:tcPr>
            <w:tcW w:type="dxa" w:w="2268"/>
            <w:shd w:val="clear" w:color="auto" w:fill="FAF6F0"/>
          </w:tcPr>
          <w:p>
            <w:pPr>
              <w:spacing w:before="20" w:after="20"/>
            </w:pPr>
            <w:r/>
            <w:r>
              <w:rPr>
                <w:rFonts w:ascii="Arial" w:hAnsi="Arial" w:eastAsia="Arial"/>
                <w:b/>
                <w:i w:val="0"/>
                <w:caps w:val="0"/>
                <w:color w:val="0F4C5C"/>
                <w:sz w:val="16"/>
              </w:rPr>
              <w:t>«Information Officer»</w:t>
            </w:r>
          </w:p>
        </w:tc>
        <w:tc>
          <w:tcPr>
            <w:tcW w:type="dxa" w:w="7711"/>
          </w:tcPr>
          <w:p>
            <w:pPr>
              <w:spacing w:before="20" w:after="20"/>
            </w:pPr>
            <w:r/>
            <w:r>
              <w:rPr>
                <w:rFonts w:ascii="Arial" w:hAnsi="Arial" w:eastAsia="Arial"/>
                <w:b w:val="0"/>
                <w:i w:val="0"/>
                <w:caps w:val="0"/>
                <w:color w:val="1E2A30"/>
                <w:sz w:val="16"/>
              </w:rPr>
              <w:t>Our POPIA duties, including notifying the Information Regulator and data subjects of a security compromise.</w:t>
            </w:r>
          </w:p>
        </w:tc>
      </w:tr>
      <w:tr>
        <w:tc>
          <w:tcPr>
            <w:tcW w:type="dxa" w:w="2268"/>
            <w:shd w:val="clear" w:color="auto" w:fill="FAF6F0"/>
          </w:tcPr>
          <w:p>
            <w:pPr>
              <w:spacing w:before="20" w:after="20"/>
            </w:pPr>
            <w:r/>
            <w:r>
              <w:rPr>
                <w:rFonts w:ascii="Arial" w:hAnsi="Arial" w:eastAsia="Arial"/>
                <w:b/>
                <w:i w:val="0"/>
                <w:caps w:val="0"/>
                <w:color w:val="0F4C5C"/>
                <w:sz w:val="16"/>
              </w:rPr>
              <w:t>Managers</w:t>
            </w:r>
          </w:p>
        </w:tc>
        <w:tc>
          <w:tcPr>
            <w:tcW w:type="dxa" w:w="7711"/>
          </w:tcPr>
          <w:p>
            <w:pPr>
              <w:spacing w:before="20" w:after="20"/>
            </w:pPr>
            <w:r/>
            <w:r>
              <w:rPr>
                <w:rFonts w:ascii="Arial" w:hAnsi="Arial" w:eastAsia="Arial"/>
                <w:b w:val="0"/>
                <w:i w:val="0"/>
                <w:caps w:val="0"/>
                <w:color w:val="1E2A30"/>
                <w:sz w:val="16"/>
              </w:rPr>
              <w:t>See that their people know and apply the rules; act on events and weaknesses reported to them.</w:t>
            </w:r>
          </w:p>
        </w:tc>
      </w:tr>
      <w:tr>
        <w:tc>
          <w:tcPr>
            <w:tcW w:type="dxa" w:w="2268"/>
            <w:shd w:val="clear" w:color="auto" w:fill="FAF6F0"/>
          </w:tcPr>
          <w:p>
            <w:pPr>
              <w:spacing w:before="20" w:after="20"/>
            </w:pPr>
            <w:r/>
            <w:r>
              <w:rPr>
                <w:rFonts w:ascii="Arial" w:hAnsi="Arial" w:eastAsia="Arial"/>
                <w:b/>
                <w:i w:val="0"/>
                <w:caps w:val="0"/>
                <w:color w:val="0F4C5C"/>
                <w:sz w:val="16"/>
              </w:rPr>
              <w:t>Everyone</w:t>
            </w:r>
          </w:p>
        </w:tc>
        <w:tc>
          <w:tcPr>
            <w:tcW w:type="dxa" w:w="7711"/>
          </w:tcPr>
          <w:p>
            <w:pPr>
              <w:spacing w:before="20" w:after="20"/>
            </w:pPr>
            <w:r/>
            <w:r>
              <w:rPr>
                <w:rFonts w:ascii="Arial" w:hAnsi="Arial" w:eastAsia="Arial"/>
                <w:b w:val="0"/>
                <w:i w:val="0"/>
                <w:caps w:val="0"/>
                <w:color w:val="1E2A30"/>
                <w:sz w:val="16"/>
              </w:rPr>
              <w:t>Follow the rules, protect what you handle, report anything that looks wrong at once through «the report-an-incident channel» — never penalised for reporting in good faith.</w:t>
            </w:r>
          </w:p>
        </w:tc>
      </w:tr>
    </w:tbl>
    <w:p>
      <w:pPr>
        <w:spacing w:before="0" w:after="0" w:lineRule="exact" w:line="80"/>
      </w:pPr>
    </w:p>
    <w:p>
      <w:pPr>
        <w:keepNext/>
        <w:spacing w:before="100" w:after="60"/>
      </w:pPr>
      <w:r>
        <w:rPr>
          <w:rFonts w:ascii="Arial" w:hAnsi="Arial" w:eastAsia="Arial"/>
          <w:b/>
          <w:i w:val="0"/>
          <w:caps w:val="0"/>
          <w:color w:val="0F4C5C"/>
          <w:sz w:val="22"/>
        </w:rPr>
        <w:t>5. The rules in brief</w:t>
      </w:r>
    </w:p>
    <w:p>
      <w:pPr>
        <w:spacing w:before="0" w:after="40"/>
      </w:pPr>
      <w:r>
        <w:rPr>
          <w:rFonts w:ascii="Arial" w:hAnsi="Arial" w:eastAsia="Arial"/>
          <w:b w:val="0"/>
          <w:i w:val="0"/>
          <w:caps w:val="0"/>
          <w:color w:val="1E2A30"/>
          <w:sz w:val="17"/>
        </w:rPr>
        <w:t>Detailed rules live in the topic policies and procedures this policy authorises: «acceptable use · access control · classification and handling · authentication · remote and mobile working · supplier and cloud security · backup · incident response · secure development · physical security · AI tools». Deliberate or negligent breach is a disciplinary matter under «the HR disciplinary code», and may be a criminal one.</w:t>
      </w:r>
    </w:p>
    <w:p>
      <w:pPr>
        <w:keepNext/>
        <w:spacing w:before="100" w:after="60"/>
      </w:pPr>
      <w:r>
        <w:rPr>
          <w:rFonts w:ascii="Arial" w:hAnsi="Arial" w:eastAsia="Arial"/>
          <w:b/>
          <w:i w:val="0"/>
          <w:caps w:val="0"/>
          <w:color w:val="0F4C5C"/>
          <w:sz w:val="22"/>
        </w:rPr>
        <w:t>6. Communication and review</w:t>
      </w:r>
    </w:p>
    <w:p>
      <w:pPr>
        <w:spacing w:before="0" w:after="40"/>
      </w:pPr>
      <w:r>
        <w:rPr>
          <w:rFonts w:ascii="Arial" w:hAnsi="Arial" w:eastAsia="Arial"/>
          <w:b w:val="0"/>
          <w:i w:val="0"/>
          <w:caps w:val="0"/>
          <w:color w:val="1E2A30"/>
          <w:sz w:val="17"/>
        </w:rPr>
        <w:t>Explained to every new starter, available to all staff on «the intranet / notice boards», acknowledged in writing, provided to customers, suppliers and other interested parties on request; reviewed at least annually and whenever our business, risks or obligations change.</w:t>
      </w:r>
    </w:p>
    <w:tbl>
      <w:tblPr>
        <w:tblW w:type="dxa" w:w="9639"/>
        <w:jc w:val="center"/>
        <w:tblLook w:firstColumn="1" w:firstRow="1" w:lastColumn="0" w:lastRow="0" w:noHBand="0" w:noVBand="1" w:val="04A0"/>
        <w:tblBorders>
          <w:top w:val="single" w:sz="8" w:space="0" w:color="E8472F"/>
          <w:left w:val="single" w:sz="8" w:space="0" w:color="E8472F"/>
          <w:bottom w:val="single" w:sz="8" w:space="0" w:color="E8472F"/>
          <w:right w:val="single" w:sz="8" w:space="0" w:color="E8472F"/>
          <w:insideH w:val="single" w:sz="8" w:space="0" w:color="E8472F"/>
          <w:insideV w:val="single" w:sz="8" w:space="0" w:color="E8472F"/>
        </w:tblBorders>
        <w:tblLayout w:type="fixed"/>
        <w:tblCellMar>
          <w:top w:w="90" w:type="dxa"/>
          <w:left w:w="140" w:type="dxa"/>
          <w:bottom w:w="90" w:type="dxa"/>
          <w:right w:w="140" w:type="dxa"/>
        </w:tblCellMar>
        <w:tblLayout w:type="fixed"/>
      </w:tblPr>
      <w:tblGrid>
        <w:gridCol w:w="9639"/>
      </w:tblGrid>
      <w:tr>
        <w:tc>
          <w:tcPr>
            <w:tcW w:type="dxa" w:w="9639"/>
            <w:shd w:val="clear" w:color="auto" w:fill="FAF6F0"/>
          </w:tcPr>
          <w:p>
            <w:pPr>
              <w:spacing w:before="40" w:after="40"/>
            </w:pPr>
            <w:r/>
            <w:r>
              <w:rPr>
                <w:rFonts w:ascii="Arial" w:hAnsi="Arial" w:eastAsia="Arial"/>
                <w:b/>
                <w:i w:val="0"/>
                <w:caps w:val="0"/>
                <w:color w:val="E8472F"/>
                <w:sz w:val="16"/>
              </w:rPr>
              <w:t xml:space="preserve">How to keep this true. </w:t>
            </w:r>
            <w:r>
              <w:rPr>
                <w:rFonts w:ascii="Arial" w:hAnsi="Arial" w:eastAsia="Arial"/>
                <w:b w:val="0"/>
                <w:i w:val="0"/>
                <w:caps w:val="0"/>
                <w:color w:val="1E2A30"/>
                <w:sz w:val="16"/>
              </w:rPr>
              <w:t>A policy is evidence only if it lives. Keep with it: the communication record (date, channel, who), the acknowledgements, the objectives' latest values, the management-review minute that reviewed it, and the dated approval below — and expect the auditor to ask three people on the floor what it says.</w:t>
            </w:r>
          </w:p>
        </w:tc>
      </w:tr>
    </w:tbl>
    <w:p>
      <w:pPr>
        <w:spacing w:before="0" w:after="0" w:lineRule="exact" w:line="80"/>
      </w:pPr>
    </w:p>
    <w:tbl>
      <w:tblPr>
        <w:tblW w:type="dxa" w:w="10206"/>
        <w:jc w:val="center"/>
        <w:tblLook w:firstColumn="1" w:firstRow="1" w:lastColumn="0" w:lastRow="0" w:noHBand="0" w:noVBand="1" w:val="04A0"/>
        <w:tblBorders>
          <w:top w:val="single" w:sz="4" w:space="0" w:color="E7E0D4"/>
          <w:left w:val="single" w:sz="4" w:space="0" w:color="E7E0D4"/>
          <w:bottom w:val="single" w:sz="4" w:space="0" w:color="E7E0D4"/>
          <w:right w:val="single" w:sz="4" w:space="0" w:color="E7E0D4"/>
          <w:insideH w:val="single" w:sz="4" w:space="0" w:color="E7E0D4"/>
          <w:insideV w:val="single" w:sz="4" w:space="0" w:color="E7E0D4"/>
        </w:tblBorders>
        <w:tblLayout w:type="fixed"/>
        <w:tblCellMar>
          <w:top w:w="50" w:type="dxa"/>
          <w:left w:w="90" w:type="dxa"/>
          <w:bottom w:w="50" w:type="dxa"/>
          <w:right w:w="90" w:type="dxa"/>
        </w:tblCellMar>
        <w:tblLayout w:type="fixed"/>
      </w:tblPr>
      <w:tblGrid>
        <w:gridCol w:w="1360"/>
        <w:gridCol w:w="2041"/>
        <w:gridCol w:w="1134"/>
        <w:gridCol w:w="1587"/>
        <w:gridCol w:w="680"/>
        <w:gridCol w:w="1247"/>
        <w:gridCol w:w="1134"/>
        <w:gridCol w:w="1020"/>
      </w:tblGrid>
      <w:tr>
        <w:trPr>
          <w:trHeight w:val="454"/>
        </w:trPr>
        <w:tc>
          <w:tcPr>
            <w:tcW w:type="dxa" w:w="1360"/>
            <w:shd w:val="clear" w:color="auto" w:fill="FAF6F0"/>
          </w:tcPr>
          <w:p>
            <w:pPr>
              <w:spacing w:before="20" w:after="20"/>
            </w:pPr>
            <w:r/>
            <w:r>
              <w:rPr>
                <w:rFonts w:ascii="Arial" w:hAnsi="Arial" w:eastAsia="Arial"/>
                <w:b/>
                <w:i w:val="0"/>
                <w:caps w:val="0"/>
                <w:color w:val="5E6B72"/>
                <w:sz w:val="17"/>
              </w:rPr>
              <w:t>Approved by</w:t>
            </w:r>
          </w:p>
        </w:tc>
        <w:tc>
          <w:tcPr>
            <w:tcW w:type="dxa" w:w="2041"/>
          </w:tcPr>
          <w:p>
            <w:pPr>
              <w:spacing w:before="20" w:after="20"/>
            </w:pPr>
            <w:r/>
            <w:r>
              <w:rPr>
                <w:rFonts w:ascii="Arial" w:hAnsi="Arial" w:eastAsia="Arial"/>
                <w:b w:val="0"/>
                <w:i w:val="0"/>
                <w:caps w:val="0"/>
                <w:color w:val="1E2A30"/>
                <w:sz w:val="17"/>
              </w:rPr>
            </w:r>
          </w:p>
        </w:tc>
        <w:tc>
          <w:tcPr>
            <w:tcW w:type="dxa" w:w="1134"/>
            <w:shd w:val="clear" w:color="auto" w:fill="FAF6F0"/>
          </w:tcPr>
          <w:p>
            <w:pPr>
              <w:spacing w:before="20" w:after="20"/>
            </w:pPr>
            <w:r/>
            <w:r>
              <w:rPr>
                <w:rFonts w:ascii="Arial" w:hAnsi="Arial" w:eastAsia="Arial"/>
                <w:b/>
                <w:i w:val="0"/>
                <w:caps w:val="0"/>
                <w:color w:val="5E6B72"/>
                <w:sz w:val="17"/>
              </w:rPr>
              <w:t>Signature</w:t>
            </w:r>
          </w:p>
        </w:tc>
        <w:tc>
          <w:tcPr>
            <w:tcW w:type="dxa" w:w="1587"/>
          </w:tcPr>
          <w:p>
            <w:pPr>
              <w:spacing w:before="20" w:after="20"/>
            </w:pPr>
            <w:r/>
            <w:r>
              <w:rPr>
                <w:rFonts w:ascii="Arial" w:hAnsi="Arial" w:eastAsia="Arial"/>
                <w:b w:val="0"/>
                <w:i w:val="0"/>
                <w:caps w:val="0"/>
                <w:color w:val="1E2A30"/>
                <w:sz w:val="17"/>
              </w:rPr>
            </w:r>
          </w:p>
        </w:tc>
        <w:tc>
          <w:tcPr>
            <w:tcW w:type="dxa" w:w="680"/>
            <w:shd w:val="clear" w:color="auto" w:fill="FAF6F0"/>
          </w:tcPr>
          <w:p>
            <w:pPr>
              <w:spacing w:before="20" w:after="20"/>
            </w:pPr>
            <w:r/>
            <w:r>
              <w:rPr>
                <w:rFonts w:ascii="Arial" w:hAnsi="Arial" w:eastAsia="Arial"/>
                <w:b/>
                <w:i w:val="0"/>
                <w:caps w:val="0"/>
                <w:color w:val="5E6B72"/>
                <w:sz w:val="17"/>
              </w:rPr>
              <w:t>Date</w:t>
            </w:r>
          </w:p>
        </w:tc>
        <w:tc>
          <w:tcPr>
            <w:tcW w:type="dxa" w:w="1247"/>
          </w:tcPr>
          <w:p>
            <w:pPr>
              <w:spacing w:before="20" w:after="20"/>
            </w:pPr>
            <w:r/>
            <w:r>
              <w:rPr>
                <w:rFonts w:ascii="Arial" w:hAnsi="Arial" w:eastAsia="Arial"/>
                <w:b w:val="0"/>
                <w:i w:val="0"/>
                <w:caps w:val="0"/>
                <w:color w:val="1E2A30"/>
                <w:sz w:val="17"/>
              </w:rPr>
            </w:r>
          </w:p>
        </w:tc>
        <w:tc>
          <w:tcPr>
            <w:tcW w:type="dxa" w:w="1134"/>
            <w:shd w:val="clear" w:color="auto" w:fill="FAF6F0"/>
          </w:tcPr>
          <w:p>
            <w:pPr>
              <w:spacing w:before="20" w:after="20"/>
            </w:pPr>
            <w:r/>
            <w:r>
              <w:rPr>
                <w:rFonts w:ascii="Arial" w:hAnsi="Arial" w:eastAsia="Arial"/>
                <w:b/>
                <w:i w:val="0"/>
                <w:caps w:val="0"/>
                <w:color w:val="5E6B72"/>
                <w:sz w:val="17"/>
              </w:rPr>
              <w:t>Next review</w:t>
            </w:r>
          </w:p>
        </w:tc>
        <w:tc>
          <w:tcPr>
            <w:tcW w:type="dxa" w:w="1020"/>
          </w:tcPr>
          <w:p>
            <w:pPr>
              <w:spacing w:before="20" w:after="20"/>
            </w:pPr>
            <w:r/>
            <w:r>
              <w:rPr>
                <w:rFonts w:ascii="Arial" w:hAnsi="Arial" w:eastAsia="Arial"/>
                <w:b w:val="0"/>
                <w:i w:val="0"/>
                <w:caps w:val="0"/>
                <w:color w:val="1E2A30"/>
                <w:sz w:val="17"/>
              </w:rPr>
            </w:r>
          </w:p>
        </w:tc>
      </w:tr>
    </w:tbl>
    <w:p>
      <w:pPr>
        <w:spacing w:before="0" w:after="0" w:lineRule="exact" w:line="80"/>
      </w:pPr>
    </w:p>
    <w:p>
      <w:pPr>
        <w:spacing w:before="80" w:after="0"/>
      </w:pPr>
      <w:r>
        <w:rPr>
          <w:rFonts w:ascii="Arial" w:hAnsi="Arial" w:eastAsia="Arial"/>
          <w:b w:val="0"/>
          <w:i/>
          <w:caps w:val="0"/>
          <w:color w:val="5E6B72"/>
          <w:sz w:val="14"/>
        </w:rPr>
        <w:t>Free Qlause template (qlause.app) in Qlause's own words, covering what ISO/IEC 27001:2022 clause 5.2 asks of a policy without reproducing the standard's text. Replace every «field»; check against your licensed copy. Not legal advice. For your organisation's own use; not for resale.</w:t>
      </w:r>
    </w:p>
    <w:sectPr w:rsidR="00FC693F" w:rsidRPr="0006063C" w:rsidSect="00034616">
      <w:footerReference w:type="default" r:id="rId9"/>
      <w:pgSz w:w="11906" w:h="16838"/>
      <w:pgMar w:top="680"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E7E0D4"/>
      </w:pBdr>
    </w:pPr>
    <w:r/>
    <w:r>
      <w:rPr>
        <w:rFonts w:ascii="Arial" w:hAnsi="Arial" w:eastAsia="Arial"/>
        <w:b w:val="0"/>
        <w:i w:val="0"/>
        <w:caps w:val="0"/>
        <w:color w:val="5E6B72"/>
        <w:sz w:val="15"/>
      </w:rPr>
      <w:t>«Organisation» · ISMS-POL-01 · «version» · «date»</w:t>
    </w:r>
    <w:r>
      <w:rPr>
        <w:rFonts w:ascii="Arial" w:hAnsi="Arial" w:eastAsia="Arial"/>
        <w:b w:val="0"/>
        <w:i w:val="0"/>
        <w:caps w:val="0"/>
        <w:color w:val="5E6B72"/>
        <w:sz w:val="15"/>
      </w:rPr>
      <w:t xml:space="preserve">    ·    </w:t>
    </w:r>
    <w:r>
      <w:rPr>
        <w:rFonts w:ascii="Arial" w:hAnsi="Arial" w:eastAsia="Arial"/>
        <w:b/>
        <w:i w:val="0"/>
        <w:caps w:val="0"/>
        <w:color w:val="5E6B72"/>
        <w:sz w:val="15"/>
      </w:rPr>
      <w:t>Uncontrolled when printed</w:t>
    </w:r>
    <w:r>
      <w:rPr>
        <w:rFonts w:ascii="Arial" w:hAnsi="Arial" w:eastAsia="Arial"/>
        <w:b w:val="0"/>
        <w:i w:val="0"/>
        <w:caps w:val="0"/>
        <w:color w:val="5E6B72"/>
        <w:sz w:val="15"/>
      </w:rPr>
      <w:t xml:space="preserve">    ·    Page </w:t>
    </w:r>
    <w:r>
      <w:rPr>
        <w:rFonts w:ascii="Arial" w:hAnsi="Arial"/>
        <w:color w:val="5E6B72"/>
        <w:sz w:val="15"/>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eastAsia="Arial"/>
      <w:color w:val="1E2A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